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jc w:val="center"/>
      </w:pPr>
      <w:r>
        <w:t>Ann Theodore Foundation Scholarship-                        New Hampshire</w:t>
      </w:r>
    </w:p>
    <w:p>
      <w:pPr>
        <w:pStyle w:val="3"/>
        <w:jc w:val="center"/>
        <w:rPr>
          <w:rStyle w:val="24"/>
          <w:b w:val="0"/>
          <w:bCs w:val="0"/>
        </w:rPr>
      </w:pPr>
      <w:r>
        <w:rPr>
          <w:rStyle w:val="24"/>
          <w:b w:val="0"/>
          <w:bCs w:val="0"/>
        </w:rPr>
        <w:t>Program Guidelines</w:t>
      </w:r>
    </w:p>
    <w:p>
      <w:pPr>
        <w:pStyle w:val="4"/>
        <w:jc w:val="center"/>
      </w:pPr>
      <w:r>
        <w:t xml:space="preserve">Applications must be received by </w:t>
      </w:r>
      <w:r>
        <w:rPr>
          <w:rFonts w:hint="default"/>
          <w:lang w:val="en-US"/>
        </w:rPr>
        <w:t>Mon</w:t>
      </w:r>
      <w:r>
        <w:t xml:space="preserve">day May </w:t>
      </w:r>
      <w:r>
        <w:rPr>
          <w:rFonts w:hint="default"/>
          <w:lang w:val="en-US"/>
        </w:rPr>
        <w:t>3</w:t>
      </w:r>
      <w:r>
        <w:t>, 202</w:t>
      </w:r>
      <w:r>
        <w:rPr>
          <w:rFonts w:hint="default"/>
          <w:lang w:val="en-US"/>
        </w:rPr>
        <w:t>1</w:t>
      </w:r>
      <w:r>
        <w:t xml:space="preserve"> by 5:00 pm</w:t>
      </w:r>
    </w:p>
    <w:p/>
    <w:p/>
    <w:p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>
        <w:rPr>
          <w:rFonts w:cstheme="minorHAnsi"/>
          <w:b/>
          <w:szCs w:val="24"/>
        </w:rPr>
        <w:t>Ann Theodore Foundation Scholarship - New Hampshire</w:t>
      </w:r>
      <w:r>
        <w:rPr>
          <w:rFonts w:cstheme="minorHAnsi"/>
          <w:szCs w:val="24"/>
        </w:rPr>
        <w:t xml:space="preserve"> opens the door to post-secondary education opportunities for youth and adults. This program is designed to help residents from Manchester, New Hampshire attend and graduate from post-secondary institutions in New Hampshire including two-year schools, trade schools, and four-year colleges. The program serves low-income high school seniors and adults who have a desire and a plan to achieve a college degree and for whom financial support along with mentoring and guidance will enable them to move ahead with their dreams of attaining a college degree. If accepted into the program, students receive scholarships of up to $25,000 annually, for up to four years, plus individual mentoring and funding for enrichment opportunities. The program is funded by an anonymous donor and administered by The Philanthropic Initiative (TPI).</w:t>
      </w:r>
    </w:p>
    <w:p/>
    <w:p>
      <w:pPr>
        <w:rPr>
          <w:rFonts w:eastAsia="Calibri"/>
          <w:szCs w:val="24"/>
        </w:rPr>
      </w:pPr>
      <w:r>
        <w:rPr>
          <w:b/>
        </w:rPr>
        <w:t>Program Goals</w:t>
      </w:r>
    </w:p>
    <w:p>
      <w:pPr>
        <w:pStyle w:val="20"/>
        <w:numPr>
          <w:ilvl w:val="0"/>
          <w:numId w:val="1"/>
        </w:numPr>
        <w:rPr>
          <w:rFonts w:eastAsia="Calibri"/>
          <w:szCs w:val="24"/>
        </w:rPr>
      </w:pPr>
      <w:r>
        <w:rPr>
          <w:rFonts w:eastAsia="Calibri"/>
          <w:szCs w:val="24"/>
        </w:rPr>
        <w:t>Have a substantial impact for students with financial need, including reduced loan burden upon graduation, enabling students to attend a college they may not have chosen otherwise, and helping to ensure that students succeed in post-secondary education programs and beyond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>Support students in ways that go beyond tuition assistance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Expand tuition and college success assistance available for low-income students regardless of age, school, or student status (full vs. part-time) in order to support all post-secondary educational pathways in New Hampshire </w:t>
      </w:r>
    </w:p>
    <w:p>
      <w:pPr>
        <w:numPr>
          <w:ilvl w:val="0"/>
          <w:numId w:val="2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Help students gain the skills and training needed to ensure success in college and beyond </w:t>
      </w:r>
    </w:p>
    <w:p>
      <w:pPr>
        <w:rPr>
          <w:rFonts w:eastAsia="Calibri"/>
          <w:color w:val="FF0000"/>
          <w:szCs w:val="24"/>
        </w:rPr>
      </w:pPr>
    </w:p>
    <w:p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Support Provided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>Tuition for degree programs: The program will provide renewable last-dollar funding of up to $25,000 per year for up to four years.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>Funding to enhance the college experience (internships, academic support and enrichment)</w:t>
      </w:r>
    </w:p>
    <w:p>
      <w:pPr>
        <w:numPr>
          <w:ilvl w:val="0"/>
          <w:numId w:val="3"/>
        </w:numPr>
        <w:contextualSpacing/>
        <w:rPr>
          <w:szCs w:val="24"/>
        </w:rPr>
      </w:pPr>
      <w:r>
        <w:rPr>
          <w:szCs w:val="24"/>
        </w:rPr>
        <w:t>Mentoring support</w:t>
      </w:r>
    </w:p>
    <w:p>
      <w:pPr>
        <w:rPr>
          <w:rFonts w:eastAsia="Calibri"/>
          <w:color w:val="FF0000"/>
          <w:szCs w:val="24"/>
        </w:rPr>
      </w:pPr>
    </w:p>
    <w:p>
      <w:pPr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Applicant Criteria </w:t>
      </w:r>
    </w:p>
    <w:p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High school senior or adult resident from Manchester, New Hampshire, or graduate of a Manchester high school, applying to attend or currently attending a two-year school, trade school, or four-year college in New Hampshire (part-time or full-time) in 202</w:t>
      </w:r>
      <w:r>
        <w:rPr>
          <w:rFonts w:hint="default"/>
          <w:szCs w:val="24"/>
          <w:lang w:val="en-US"/>
        </w:rPr>
        <w:t>1</w:t>
      </w:r>
      <w:r>
        <w:rPr>
          <w:szCs w:val="24"/>
        </w:rPr>
        <w:t>-202</w:t>
      </w:r>
      <w:r>
        <w:rPr>
          <w:rFonts w:hint="default"/>
          <w:szCs w:val="24"/>
          <w:lang w:val="en-US"/>
        </w:rPr>
        <w:t>2</w:t>
      </w:r>
    </w:p>
    <w:p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Ability to clearly articulate how this scholarship will impact applicant’s life and goals, and a drive to meet these goals through further education</w:t>
      </w:r>
    </w:p>
    <w:p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Significant financial need and opportunity to make a significant difference– priority will be given to applicants with Expected Family Contributions (EFC) of $10,000 or less.</w:t>
      </w:r>
    </w:p>
    <w:p>
      <w:pPr>
        <w:numPr>
          <w:ilvl w:val="0"/>
          <w:numId w:val="4"/>
        </w:numPr>
        <w:rPr>
          <w:szCs w:val="24"/>
        </w:rPr>
      </w:pPr>
      <w:r>
        <w:t>Substantial unmet financial need (at least $5,000) beyond what is being offered in college aid,  as determined by college financial aid award letter</w:t>
      </w:r>
    </w:p>
    <w:p>
      <w:pPr>
        <w:numPr>
          <w:ilvl w:val="0"/>
          <w:numId w:val="4"/>
        </w:numPr>
        <w:rPr>
          <w:szCs w:val="24"/>
        </w:rPr>
      </w:pPr>
      <w:r>
        <w:rPr>
          <w:rFonts w:eastAsia="Calibri"/>
          <w:szCs w:val="24"/>
        </w:rPr>
        <w:t>Applicants must exhibit good citizenship and a commitment to building and investing in their community</w:t>
      </w:r>
    </w:p>
    <w:p>
      <w:pPr>
        <w:rPr>
          <w:rFonts w:eastAsia="Calibri"/>
          <w:szCs w:val="24"/>
        </w:rPr>
      </w:pPr>
    </w:p>
    <w:p>
      <w:pPr>
        <w:rPr>
          <w:rFonts w:eastAsia="Calibri"/>
          <w:szCs w:val="24"/>
        </w:rPr>
      </w:pPr>
      <w:r>
        <w:rPr>
          <w:rFonts w:eastAsia="Calibri"/>
          <w:b/>
          <w:szCs w:val="24"/>
        </w:rPr>
        <w:t>Selection Criteria:</w:t>
      </w:r>
      <w:r>
        <w:rPr>
          <w:rFonts w:eastAsia="Calibri"/>
          <w:szCs w:val="24"/>
        </w:rPr>
        <w:t xml:space="preserve"> Selection will be based on financial need, articulation of impact of scholarship, commitment to community, work ethic, and academics. </w:t>
      </w:r>
    </w:p>
    <w:p>
      <w:pPr>
        <w:pStyle w:val="8"/>
        <w:rPr>
          <w:rFonts w:cs="Arial"/>
          <w:color w:val="FF0000"/>
          <w:sz w:val="24"/>
          <w:szCs w:val="24"/>
        </w:rPr>
      </w:pPr>
    </w:p>
    <w:p>
      <w:pPr>
        <w:keepNext/>
        <w:outlineLvl w:val="2"/>
        <w:rPr>
          <w:rFonts w:cs="Arial"/>
          <w:b/>
          <w:szCs w:val="24"/>
        </w:rPr>
      </w:pPr>
      <w:r>
        <w:rPr>
          <w:rFonts w:cs="Arial"/>
          <w:b/>
          <w:szCs w:val="24"/>
        </w:rPr>
        <w:t>Application Process</w:t>
      </w:r>
    </w:p>
    <w:p>
      <w:pPr>
        <w:keepNext/>
        <w:outlineLvl w:val="2"/>
        <w:rPr>
          <w:rFonts w:cs="Arial"/>
          <w:szCs w:val="24"/>
        </w:rPr>
      </w:pPr>
      <w:r>
        <w:rPr>
          <w:rFonts w:cs="Arial"/>
          <w:szCs w:val="24"/>
        </w:rPr>
        <w:t xml:space="preserve">For all scholarship information and application instructions, please visit </w:t>
      </w:r>
      <w:r>
        <w:fldChar w:fldCharType="begin"/>
      </w:r>
      <w:r>
        <w:instrText xml:space="preserve"> HYPERLINK "https://www.tpi.org/scholarship/ann-theodore-foundation-scholarship-new-hampshire" </w:instrText>
      </w:r>
      <w:r>
        <w:fldChar w:fldCharType="separate"/>
      </w:r>
      <w:r>
        <w:rPr>
          <w:rStyle w:val="16"/>
          <w:rFonts w:cs="Arial"/>
          <w:szCs w:val="24"/>
        </w:rPr>
        <w:t>https://www.tpi.org/scholarship/ann-theodore-foundation-scholarship-new-hampshire</w:t>
      </w:r>
      <w:r>
        <w:rPr>
          <w:rStyle w:val="16"/>
          <w:rFonts w:cs="Arial"/>
          <w:szCs w:val="24"/>
        </w:rPr>
        <w:fldChar w:fldCharType="end"/>
      </w:r>
      <w:r>
        <w:rPr>
          <w:rFonts w:cs="Arial"/>
          <w:szCs w:val="24"/>
        </w:rPr>
        <w:t>.</w:t>
      </w:r>
    </w:p>
    <w:p>
      <w:pPr>
        <w:keepNext/>
        <w:outlineLvl w:val="2"/>
        <w:rPr>
          <w:rFonts w:cs="Arial"/>
          <w:b/>
          <w:szCs w:val="24"/>
        </w:rPr>
      </w:pPr>
    </w:p>
    <w:p>
      <w:pPr>
        <w:rPr>
          <w:rFonts w:cs="Arial"/>
          <w:szCs w:val="24"/>
        </w:rPr>
      </w:pPr>
      <w:r>
        <w:rPr>
          <w:rFonts w:cs="Arial"/>
          <w:szCs w:val="24"/>
        </w:rPr>
        <w:t xml:space="preserve">Interested applicants will complete an online application: </w:t>
      </w:r>
      <w:r>
        <w:fldChar w:fldCharType="begin"/>
      </w:r>
      <w:r>
        <w:instrText xml:space="preserve"> HYPERLINK "https://www.grantinterface.com/Home/Logon?urlkey=anntheodore" </w:instrText>
      </w:r>
      <w:r>
        <w:fldChar w:fldCharType="separate"/>
      </w:r>
      <w:r>
        <w:rPr>
          <w:rStyle w:val="16"/>
        </w:rPr>
        <w:t>https://www.grantinterface.com/Home/Logon?urlkey=anntheodore</w:t>
      </w:r>
      <w:r>
        <w:rPr>
          <w:rStyle w:val="16"/>
        </w:rPr>
        <w:fldChar w:fldCharType="end"/>
      </w:r>
      <w:r>
        <w:t xml:space="preserve">. </w:t>
      </w:r>
    </w:p>
    <w:p>
      <w:pPr>
        <w:rPr>
          <w:rFonts w:cs="Arial"/>
          <w:szCs w:val="24"/>
        </w:rPr>
      </w:pPr>
    </w:p>
    <w:p>
      <w:pPr>
        <w:rPr>
          <w:rFonts w:cs="Arial"/>
          <w:szCs w:val="24"/>
        </w:rPr>
      </w:pPr>
      <w:r>
        <w:rPr>
          <w:rFonts w:cs="Arial"/>
          <w:szCs w:val="24"/>
        </w:rPr>
        <w:t>Select the applicable scholarship location (New Hampshire) to begin the application. Within the online application, applicants will submit the following materials:</w:t>
      </w:r>
    </w:p>
    <w:p>
      <w:pPr>
        <w:pStyle w:val="20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Financial aid award letter (if available)</w:t>
      </w:r>
    </w:p>
    <w:p>
      <w:pPr>
        <w:pStyle w:val="2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High school transcript</w:t>
      </w:r>
    </w:p>
    <w:p>
      <w:pPr>
        <w:pStyle w:val="2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College transcript for students who are already in college</w:t>
      </w:r>
    </w:p>
    <w:p>
      <w:pPr>
        <w:pStyle w:val="2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>Essays – Essay questions are located within the online application</w:t>
      </w:r>
    </w:p>
    <w:p>
      <w:pPr>
        <w:pStyle w:val="20"/>
        <w:numPr>
          <w:ilvl w:val="0"/>
          <w:numId w:val="6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FAFSA Student Aid Report (SAR) – This document will be approximately five pages long.  You must submit the ENTIRE SAR document. </w:t>
      </w:r>
    </w:p>
    <w:p>
      <w:pPr>
        <w:rPr>
          <w:rFonts w:cs="Arial"/>
          <w:szCs w:val="24"/>
        </w:rPr>
      </w:pPr>
    </w:p>
    <w:p>
      <w:pPr>
        <w:rPr>
          <w:rFonts w:cs="Arial"/>
          <w:szCs w:val="24"/>
        </w:rPr>
      </w:pPr>
    </w:p>
    <w:p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Timeline</w:t>
      </w:r>
    </w:p>
    <w:p>
      <w:pPr>
        <w:rPr>
          <w:rFonts w:cs="Arial"/>
          <w:szCs w:val="24"/>
        </w:rPr>
      </w:pPr>
      <w:r>
        <w:rPr>
          <w:rFonts w:cs="Arial"/>
          <w:szCs w:val="24"/>
        </w:rPr>
        <w:t>Scholarship applications due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May </w:t>
      </w:r>
      <w:r>
        <w:rPr>
          <w:rFonts w:hint="default" w:cs="Arial"/>
          <w:szCs w:val="24"/>
          <w:lang w:val="en-US"/>
        </w:rPr>
        <w:t>3</w:t>
      </w:r>
      <w:r>
        <w:rPr>
          <w:rFonts w:cs="Arial"/>
          <w:szCs w:val="24"/>
        </w:rPr>
        <w:t>, 202</w:t>
      </w:r>
      <w:r>
        <w:rPr>
          <w:rFonts w:hint="default" w:cs="Arial"/>
          <w:szCs w:val="24"/>
          <w:lang w:val="en-US"/>
        </w:rPr>
        <w:t>1</w:t>
      </w:r>
      <w:r>
        <w:rPr>
          <w:rFonts w:cs="Arial"/>
          <w:szCs w:val="24"/>
        </w:rPr>
        <w:t xml:space="preserve"> by 5:00 pm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Interviews with finalists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June 202</w:t>
      </w:r>
      <w:r>
        <w:rPr>
          <w:rFonts w:hint="default" w:cs="Arial"/>
          <w:szCs w:val="24"/>
          <w:lang w:val="en-US"/>
        </w:rPr>
        <w:t>1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Scholarships announced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End of June 202</w:t>
      </w:r>
      <w:r>
        <w:rPr>
          <w:rFonts w:hint="default" w:cs="Arial"/>
          <w:szCs w:val="24"/>
          <w:lang w:val="en-US"/>
        </w:rPr>
        <w:t>1</w:t>
      </w:r>
    </w:p>
    <w:p>
      <w:pPr>
        <w:rPr>
          <w:rFonts w:hint="default" w:cs="Arial"/>
          <w:szCs w:val="24"/>
          <w:lang w:val="en-US"/>
        </w:rPr>
      </w:pPr>
      <w:r>
        <w:rPr>
          <w:rFonts w:cs="Arial"/>
          <w:szCs w:val="24"/>
        </w:rPr>
        <w:t>Scholarship checks sent to colleges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>August 202</w:t>
      </w:r>
      <w:r>
        <w:rPr>
          <w:rFonts w:hint="default" w:cs="Arial"/>
          <w:szCs w:val="24"/>
          <w:lang w:val="en-US"/>
        </w:rPr>
        <w:t>1</w:t>
      </w:r>
    </w:p>
    <w:p/>
    <w:p>
      <w:r>
        <w:t xml:space="preserve">If you have questions, contact </w:t>
      </w:r>
      <w:r>
        <w:rPr>
          <w:rFonts w:hint="default"/>
          <w:lang w:val="en-US"/>
        </w:rPr>
        <w:t>Mahalia Banton</w:t>
      </w:r>
      <w:r>
        <w:t xml:space="preserve"> at </w:t>
      </w:r>
      <w:r>
        <w:fldChar w:fldCharType="begin"/>
      </w:r>
      <w:r>
        <w:instrText xml:space="preserve"> HYPERLINK "mailto:anntheodorescholarship@tpi.org" </w:instrText>
      </w:r>
      <w:r>
        <w:fldChar w:fldCharType="separate"/>
      </w:r>
      <w:r>
        <w:rPr>
          <w:rStyle w:val="16"/>
          <w:color w:val="1F497D"/>
        </w:rPr>
        <w:t>anntheodorescholarship@tpi.org</w:t>
      </w:r>
      <w:r>
        <w:rPr>
          <w:rStyle w:val="16"/>
          <w:color w:val="1F497D"/>
        </w:rPr>
        <w:fldChar w:fldCharType="end"/>
      </w:r>
      <w:r>
        <w:rPr>
          <w:color w:val="1F497D"/>
        </w:rPr>
        <w:t xml:space="preserve"> </w:t>
      </w:r>
      <w:r>
        <w:t>or 617-338-58</w:t>
      </w:r>
      <w:r>
        <w:rPr>
          <w:rFonts w:hint="default"/>
          <w:lang w:val="en-US"/>
        </w:rPr>
        <w:t>81</w:t>
      </w:r>
      <w:r>
        <w:t>.</w:t>
      </w:r>
    </w:p>
    <w:sectPr>
      <w:headerReference r:id="rId3" w:type="first"/>
      <w:footerReference r:id="rId5" w:type="first"/>
      <w:footerReference r:id="rId4" w:type="default"/>
      <w:pgSz w:w="12240" w:h="15840"/>
      <w:pgMar w:top="1440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entury Gothic" w:hAnsi="Century Gothic"/>
        <w:color w:val="125C8A"/>
        <w:sz w:val="18"/>
        <w:szCs w:val="18"/>
      </w:rPr>
      <w:id w:val="90129642"/>
      <w:docPartObj>
        <w:docPartGallery w:val="autotext"/>
      </w:docPartObj>
    </w:sdtPr>
    <w:sdtEndPr>
      <w:rPr>
        <w:rFonts w:ascii="Century Gothic" w:hAnsi="Century Gothic"/>
        <w:color w:val="125C8A"/>
        <w:sz w:val="18"/>
        <w:szCs w:val="18"/>
      </w:rPr>
    </w:sdtEndPr>
    <w:sdtContent>
      <w:p>
        <w:pPr>
          <w:jc w:val="center"/>
          <w:rPr>
            <w:rFonts w:ascii="Century Gothic" w:hAnsi="Century Gothic"/>
            <w:color w:val="125C8A"/>
            <w:sz w:val="18"/>
            <w:szCs w:val="18"/>
          </w:rPr>
        </w:pPr>
        <w:r>
          <w:rPr>
            <w:rFonts w:ascii="Century Gothic" w:hAnsi="Century Gothic"/>
            <w:color w:val="125C8A"/>
            <w:sz w:val="18"/>
            <w:szCs w:val="18"/>
          </w:rPr>
          <w:fldChar w:fldCharType="begin"/>
        </w:r>
        <w:r>
          <w:rPr>
            <w:rFonts w:ascii="Century Gothic" w:hAnsi="Century Gothic"/>
            <w:color w:val="125C8A"/>
            <w:sz w:val="18"/>
            <w:szCs w:val="18"/>
          </w:rPr>
          <w:instrText xml:space="preserve"> PAGE   \* MERGEFORMAT </w:instrText>
        </w:r>
        <w:r>
          <w:rPr>
            <w:rFonts w:ascii="Century Gothic" w:hAnsi="Century Gothic"/>
            <w:color w:val="125C8A"/>
            <w:sz w:val="18"/>
            <w:szCs w:val="18"/>
          </w:rPr>
          <w:fldChar w:fldCharType="separate"/>
        </w:r>
        <w:r>
          <w:rPr>
            <w:rFonts w:ascii="Century Gothic" w:hAnsi="Century Gothic"/>
            <w:color w:val="125C8A"/>
            <w:sz w:val="18"/>
            <w:szCs w:val="18"/>
          </w:rPr>
          <w:t>2</w:t>
        </w:r>
        <w:r>
          <w:rPr>
            <w:rFonts w:ascii="Century Gothic" w:hAnsi="Century Gothic"/>
            <w:color w:val="125C8A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Century Gothic" w:hAnsi="Century Gothic"/>
        <w:color w:val="135D8F"/>
        <w:sz w:val="18"/>
        <w:szCs w:val="18"/>
      </w:rPr>
    </w:pPr>
    <w:r>
      <w:rPr>
        <w:rFonts w:ascii="Century Gothic" w:hAnsi="Century Gothic"/>
        <w:color w:val="125C8A"/>
        <w:sz w:val="18"/>
        <w:szCs w:val="18"/>
      </w:rPr>
      <w:t xml:space="preserve">75 Arlington Street, Suite 710, </w:t>
    </w:r>
    <w:r>
      <w:rPr>
        <w:rFonts w:ascii="Century Gothic" w:hAnsi="Century Gothic"/>
        <w:color w:val="135D8F"/>
        <w:sz w:val="18"/>
        <w:szCs w:val="18"/>
      </w:rPr>
      <w:t>Boston, MA 02116 | P: 617.338.2590 | F: 617.338.2591 | www.tpi.org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ascii="Arial" w:hAnsi="Arial" w:eastAsia="Times New Roman" w:cs="Arial"/>
        <w:b/>
        <w:color w:val="002060"/>
        <w:sz w:val="28"/>
        <w:szCs w:val="28"/>
      </w:rPr>
      <w:drawing>
        <wp:inline distT="0" distB="0" distL="0" distR="0">
          <wp:extent cx="2190750" cy="1095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316" cy="10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16435"/>
    <w:multiLevelType w:val="multilevel"/>
    <w:tmpl w:val="0921643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78B3BB8"/>
    <w:multiLevelType w:val="multilevel"/>
    <w:tmpl w:val="278B3B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Wingdings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Wingdings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E11248"/>
    <w:multiLevelType w:val="multilevel"/>
    <w:tmpl w:val="27E11248"/>
    <w:lvl w:ilvl="0" w:tentative="0">
      <w:start w:val="9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29031B1"/>
    <w:multiLevelType w:val="multilevel"/>
    <w:tmpl w:val="529031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983E05"/>
    <w:multiLevelType w:val="multilevel"/>
    <w:tmpl w:val="5A983E05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Wingdings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Wingdings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79B55B68"/>
    <w:multiLevelType w:val="multilevel"/>
    <w:tmpl w:val="79B55B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E"/>
    <w:rsid w:val="000304A0"/>
    <w:rsid w:val="00043283"/>
    <w:rsid w:val="00081981"/>
    <w:rsid w:val="00091856"/>
    <w:rsid w:val="000968FB"/>
    <w:rsid w:val="000A1A47"/>
    <w:rsid w:val="000A2EDD"/>
    <w:rsid w:val="000C781B"/>
    <w:rsid w:val="000E35BF"/>
    <w:rsid w:val="000F0F9C"/>
    <w:rsid w:val="000F7E0E"/>
    <w:rsid w:val="001379DD"/>
    <w:rsid w:val="00152375"/>
    <w:rsid w:val="001815FC"/>
    <w:rsid w:val="001849BC"/>
    <w:rsid w:val="001B0D7C"/>
    <w:rsid w:val="001C2A59"/>
    <w:rsid w:val="001E0CF6"/>
    <w:rsid w:val="001F4535"/>
    <w:rsid w:val="00256713"/>
    <w:rsid w:val="00262783"/>
    <w:rsid w:val="00266511"/>
    <w:rsid w:val="00270AC2"/>
    <w:rsid w:val="00292A09"/>
    <w:rsid w:val="00295C67"/>
    <w:rsid w:val="002A5736"/>
    <w:rsid w:val="002D11E6"/>
    <w:rsid w:val="002D7784"/>
    <w:rsid w:val="002F6CEA"/>
    <w:rsid w:val="00302D75"/>
    <w:rsid w:val="003079BA"/>
    <w:rsid w:val="00311C93"/>
    <w:rsid w:val="00320617"/>
    <w:rsid w:val="0038785B"/>
    <w:rsid w:val="003954F2"/>
    <w:rsid w:val="003B0E0C"/>
    <w:rsid w:val="003C255D"/>
    <w:rsid w:val="003C3B38"/>
    <w:rsid w:val="003D4A6A"/>
    <w:rsid w:val="003F1352"/>
    <w:rsid w:val="00422C9B"/>
    <w:rsid w:val="00423F49"/>
    <w:rsid w:val="00437A41"/>
    <w:rsid w:val="00453064"/>
    <w:rsid w:val="00475D90"/>
    <w:rsid w:val="00476045"/>
    <w:rsid w:val="00487137"/>
    <w:rsid w:val="00490020"/>
    <w:rsid w:val="00491312"/>
    <w:rsid w:val="00491F23"/>
    <w:rsid w:val="00493902"/>
    <w:rsid w:val="004E041A"/>
    <w:rsid w:val="004E5AB6"/>
    <w:rsid w:val="005266A1"/>
    <w:rsid w:val="005365A0"/>
    <w:rsid w:val="005574A3"/>
    <w:rsid w:val="00574E1D"/>
    <w:rsid w:val="0058246B"/>
    <w:rsid w:val="00606760"/>
    <w:rsid w:val="00623718"/>
    <w:rsid w:val="006237B9"/>
    <w:rsid w:val="006278B5"/>
    <w:rsid w:val="00680920"/>
    <w:rsid w:val="006A5745"/>
    <w:rsid w:val="006A5E3E"/>
    <w:rsid w:val="006B1E86"/>
    <w:rsid w:val="006E3A84"/>
    <w:rsid w:val="0070481C"/>
    <w:rsid w:val="00705D94"/>
    <w:rsid w:val="007158E9"/>
    <w:rsid w:val="00730E35"/>
    <w:rsid w:val="0073304A"/>
    <w:rsid w:val="007344ED"/>
    <w:rsid w:val="00734986"/>
    <w:rsid w:val="00756F8A"/>
    <w:rsid w:val="0077710F"/>
    <w:rsid w:val="00781364"/>
    <w:rsid w:val="00782BD7"/>
    <w:rsid w:val="007B1FC5"/>
    <w:rsid w:val="007B59BD"/>
    <w:rsid w:val="007D2BAA"/>
    <w:rsid w:val="007E69FE"/>
    <w:rsid w:val="008233C2"/>
    <w:rsid w:val="008323FB"/>
    <w:rsid w:val="00835CEE"/>
    <w:rsid w:val="00836A30"/>
    <w:rsid w:val="00844290"/>
    <w:rsid w:val="008463B0"/>
    <w:rsid w:val="00856C85"/>
    <w:rsid w:val="0086342C"/>
    <w:rsid w:val="0087271F"/>
    <w:rsid w:val="00876E45"/>
    <w:rsid w:val="008B1FC1"/>
    <w:rsid w:val="008B48D9"/>
    <w:rsid w:val="008C142F"/>
    <w:rsid w:val="008C46E7"/>
    <w:rsid w:val="009203BF"/>
    <w:rsid w:val="00941510"/>
    <w:rsid w:val="009440C1"/>
    <w:rsid w:val="00944C32"/>
    <w:rsid w:val="009527CF"/>
    <w:rsid w:val="00974E26"/>
    <w:rsid w:val="009838DB"/>
    <w:rsid w:val="0098549E"/>
    <w:rsid w:val="009D6F96"/>
    <w:rsid w:val="00A370F1"/>
    <w:rsid w:val="00A643E7"/>
    <w:rsid w:val="00AC360E"/>
    <w:rsid w:val="00AE5214"/>
    <w:rsid w:val="00AF305A"/>
    <w:rsid w:val="00B95F0A"/>
    <w:rsid w:val="00BB54FE"/>
    <w:rsid w:val="00BC4173"/>
    <w:rsid w:val="00BE226A"/>
    <w:rsid w:val="00BE51B2"/>
    <w:rsid w:val="00BE7755"/>
    <w:rsid w:val="00BF57B9"/>
    <w:rsid w:val="00C15D6D"/>
    <w:rsid w:val="00C3085C"/>
    <w:rsid w:val="00C328BB"/>
    <w:rsid w:val="00C4302F"/>
    <w:rsid w:val="00C43066"/>
    <w:rsid w:val="00C536BC"/>
    <w:rsid w:val="00C556AA"/>
    <w:rsid w:val="00C878BE"/>
    <w:rsid w:val="00C90D77"/>
    <w:rsid w:val="00C9706E"/>
    <w:rsid w:val="00CA4862"/>
    <w:rsid w:val="00CF68A4"/>
    <w:rsid w:val="00D37536"/>
    <w:rsid w:val="00D522FF"/>
    <w:rsid w:val="00D605E2"/>
    <w:rsid w:val="00D97F39"/>
    <w:rsid w:val="00DB2CEC"/>
    <w:rsid w:val="00DC0DC9"/>
    <w:rsid w:val="00DC2427"/>
    <w:rsid w:val="00DD0575"/>
    <w:rsid w:val="00DD2E21"/>
    <w:rsid w:val="00E056B3"/>
    <w:rsid w:val="00E20778"/>
    <w:rsid w:val="00E457B2"/>
    <w:rsid w:val="00E90721"/>
    <w:rsid w:val="00E94A0B"/>
    <w:rsid w:val="00EC51C3"/>
    <w:rsid w:val="00ED070D"/>
    <w:rsid w:val="00ED7323"/>
    <w:rsid w:val="00EE6DE7"/>
    <w:rsid w:val="00F96E83"/>
    <w:rsid w:val="00FA4A12"/>
    <w:rsid w:val="00FB78D7"/>
    <w:rsid w:val="00FC2DA3"/>
    <w:rsid w:val="00FD11E9"/>
    <w:rsid w:val="00FE31D2"/>
    <w:rsid w:val="00FF7AF9"/>
    <w:rsid w:val="00FF7E98"/>
    <w:rsid w:val="0274591D"/>
    <w:rsid w:val="1EEE4188"/>
    <w:rsid w:val="2FDD4367"/>
    <w:rsid w:val="372415FE"/>
    <w:rsid w:val="747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Garamond" w:hAnsi="Garamond" w:eastAsia="Times New Roman" w:cs="Times New Roman"/>
      <w:sz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360" w:after="120"/>
      <w:outlineLvl w:val="0"/>
    </w:pPr>
    <w:rPr>
      <w:rFonts w:ascii="Century Gothic" w:hAnsi="Century Gothic" w:cs="Arial"/>
      <w:b/>
      <w:bCs/>
      <w:color w:val="135D8F"/>
      <w:kern w:val="32"/>
      <w:sz w:val="36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120"/>
      <w:outlineLvl w:val="1"/>
    </w:pPr>
    <w:rPr>
      <w:rFonts w:ascii="Century Gothic" w:hAnsi="Century Gothic" w:cs="Arial"/>
      <w:b/>
      <w:bCs/>
      <w:iCs/>
      <w:color w:val="135D8F"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Century Gothic" w:hAnsi="Century Gothic" w:cs="Arial"/>
      <w:bCs/>
      <w:i/>
      <w:color w:val="135D8F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8"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23"/>
    <w:qFormat/>
    <w:uiPriority w:val="0"/>
    <w:rPr>
      <w:sz w:val="28"/>
    </w:rPr>
  </w:style>
  <w:style w:type="character" w:styleId="9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5"/>
    <w:semiHidden/>
    <w:unhideWhenUsed/>
    <w:qFormat/>
    <w:uiPriority w:val="0"/>
    <w:rPr>
      <w:sz w:val="20"/>
    </w:rPr>
  </w:style>
  <w:style w:type="paragraph" w:styleId="11">
    <w:name w:val="annotation subject"/>
    <w:basedOn w:val="10"/>
    <w:next w:val="10"/>
    <w:link w:val="26"/>
    <w:semiHidden/>
    <w:unhideWhenUsed/>
    <w:qFormat/>
    <w:uiPriority w:val="0"/>
    <w:rPr>
      <w:b/>
      <w:bCs/>
    </w:rPr>
  </w:style>
  <w:style w:type="character" w:styleId="12">
    <w:name w:val="Emphasis"/>
    <w:basedOn w:val="5"/>
    <w:qFormat/>
    <w:uiPriority w:val="0"/>
    <w:rPr>
      <w:i/>
      <w:iCs/>
    </w:rPr>
  </w:style>
  <w:style w:type="character" w:styleId="13">
    <w:name w:val="FollowedHyperlink"/>
    <w:basedOn w:val="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4">
    <w:name w:val="footer"/>
    <w:basedOn w:val="1"/>
    <w:link w:val="19"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ascii="Century Gothic" w:hAnsi="Century Gothic"/>
      <w:color w:val="8EA11B"/>
    </w:rPr>
  </w:style>
  <w:style w:type="character" w:styleId="16">
    <w:name w:val="Hyperlink"/>
    <w:basedOn w:val="5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Subtitle"/>
    <w:basedOn w:val="1"/>
    <w:next w:val="1"/>
    <w:link w:val="21"/>
    <w:qFormat/>
    <w:uiPriority w:val="0"/>
    <w:rPr>
      <w:rFonts w:asciiTheme="majorHAnsi" w:hAnsiTheme="majorHAnsi" w:eastAsiaTheme="majorEastAsia" w:cstheme="majorBidi"/>
      <w:i/>
      <w:iCs/>
      <w:color w:val="E16127"/>
      <w:spacing w:val="15"/>
      <w:szCs w:val="24"/>
    </w:rPr>
  </w:style>
  <w:style w:type="character" w:customStyle="1" w:styleId="18">
    <w:name w:val="Balloon Text Char"/>
    <w:basedOn w:val="5"/>
    <w:link w:val="7"/>
    <w:qFormat/>
    <w:uiPriority w:val="0"/>
    <w:rPr>
      <w:rFonts w:ascii="Tahoma" w:hAnsi="Tahoma" w:cs="Tahoma"/>
      <w:sz w:val="16"/>
      <w:szCs w:val="16"/>
    </w:rPr>
  </w:style>
  <w:style w:type="character" w:customStyle="1" w:styleId="19">
    <w:name w:val="Footer Char"/>
    <w:basedOn w:val="5"/>
    <w:link w:val="14"/>
    <w:qFormat/>
    <w:uiPriority w:val="99"/>
    <w:rPr>
      <w:rFonts w:ascii="Garamond" w:hAnsi="Garamond"/>
      <w:sz w:val="24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Subtitle Char"/>
    <w:basedOn w:val="5"/>
    <w:link w:val="17"/>
    <w:qFormat/>
    <w:uiPriority w:val="0"/>
    <w:rPr>
      <w:rFonts w:asciiTheme="majorHAnsi" w:hAnsiTheme="majorHAnsi" w:eastAsiaTheme="majorEastAsia" w:cstheme="majorBidi"/>
      <w:i/>
      <w:iCs/>
      <w:color w:val="E16127"/>
      <w:spacing w:val="15"/>
      <w:sz w:val="24"/>
      <w:szCs w:val="24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character" w:customStyle="1" w:styleId="23">
    <w:name w:val="Body Text Char"/>
    <w:basedOn w:val="5"/>
    <w:link w:val="8"/>
    <w:qFormat/>
    <w:uiPriority w:val="0"/>
    <w:rPr>
      <w:rFonts w:ascii="Garamond" w:hAnsi="Garamond"/>
      <w:sz w:val="28"/>
    </w:rPr>
  </w:style>
  <w:style w:type="character" w:customStyle="1" w:styleId="24">
    <w:name w:val="Intense Reference"/>
    <w:basedOn w:val="5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25">
    <w:name w:val="Comment Text Char"/>
    <w:basedOn w:val="5"/>
    <w:link w:val="10"/>
    <w:semiHidden/>
    <w:qFormat/>
    <w:uiPriority w:val="0"/>
    <w:rPr>
      <w:rFonts w:ascii="Garamond" w:hAnsi="Garamond"/>
    </w:rPr>
  </w:style>
  <w:style w:type="character" w:customStyle="1" w:styleId="26">
    <w:name w:val="Comment Subject Char"/>
    <w:basedOn w:val="25"/>
    <w:link w:val="11"/>
    <w:semiHidden/>
    <w:qFormat/>
    <w:uiPriority w:val="0"/>
    <w:rPr>
      <w:rFonts w:ascii="Garamond" w:hAnsi="Garamond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ka\AppData\Local\Microsoft\Windows\Temporary%20Internet%20Files\Content.IE5\BYBPADPQ\TPI%20letterhead_multi-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TPI letterhead_multi-page.dotx</Template>
  <Company>Execuprint</Company>
  <Pages>2</Pages>
  <Words>600</Words>
  <Characters>3917</Characters>
  <Lines>32</Lines>
  <Paragraphs>9</Paragraphs>
  <TotalTime>1</TotalTime>
  <ScaleCrop>false</ScaleCrop>
  <LinksUpToDate>false</LinksUpToDate>
  <CharactersWithSpaces>4508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2020-01-22T18:28:00Z</dcterms:created>
  <dc:creator>Danika</dc:creator>
  <cp:lastModifiedBy>mahal</cp:lastModifiedBy>
  <cp:lastPrinted>2011-02-15T22:11:00Z</cp:lastPrinted>
  <dcterms:modified xsi:type="dcterms:W3CDTF">2021-02-04T22:22:59Z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